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eastAsia="zh-CN"/>
        </w:rPr>
        <w:t>细胞间及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P2实验室技术文件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1、彩钢板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(隔断、吊顶)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彩钢板总厚度：50mm；钢板厚度：0.5mm；填充材质种类：岩棉；填充密度：1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0kg/m³；防火等级：A级；钢板颜色：乳白色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PVC卷材地面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复合PVC卷材；总厚度：2mm；耐磨层厚度：不低于0.5mm；耐磨等级：T；防火等级：B1级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净化送风机组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eastAsia="zh-CN"/>
        </w:rPr>
        <w:t>细胞间：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定制洁净间专用送风机组，机组内双级过滤（初效过滤、中效过滤），功能段包括：初效段、新风段（混合段）、预热段、制冷/加热段、加湿段、风机段、中效段、出风段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初效过滤器、中效过滤器、表冷盘管、电加热器、风机、电机均采用知名品牌；满足洁净间内温度、湿度、洁净度要求。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P2实验室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定制洁净间专用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全新风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机组，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全送全排风系统，送风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机组内双级过滤（初效过滤、中效过滤），功能段包括：初效段、新风段（混合段）、预热段、制冷/加热段、加湿段、风机段、中效段、出风段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排风机组内设置活性炭过滤器；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初效过滤器、中效过滤器、表冷盘管、电加热器、风机、电机均采用知名品牌；满足洁净间内温度、湿度、洁净度要求。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高效送风口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箱体：优质冷轧钢板；表面静电喷塑；散流板：铝制喷塑；高效过滤器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过滤器目标阻力≤200Pa，过滤器目标效率:≥99.99%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通风管道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材质采用100#以上镀锌钢板制作，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shd w:val="clear" w:color="auto" w:fill="FFFFFF"/>
        </w:rPr>
        <w:t>风管的强度应能满足在1.5倍工作压力下接连接缝处无开裂，漏风率满足国标要求。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shd w:val="clear" w:color="auto" w:fill="FFFFFF"/>
        </w:rPr>
        <w:t>配电箱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shd w:val="clear" w:color="auto" w:fill="FFFFFF"/>
        </w:rPr>
        <w:t>配电箱内元器件不低于国标要求，采用知名品牌。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shd w:val="clear" w:color="auto" w:fill="FFFFFF"/>
        </w:rPr>
        <w:t>8、照明灯具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不锈钢边框，LED灯源，平板造型，吸顶安装后无凸起，密封性良好；带应急照明灯具，停电后保持持续照明时间不低于30分钟。</w:t>
      </w:r>
      <w:r>
        <w:rPr>
          <w:rFonts w:hint="eastAsia" w:asciiTheme="minorEastAsia" w:hAnsiTheme="minorEastAsia" w:cstheme="minorEastAsia"/>
          <w:color w:val="auto"/>
          <w:sz w:val="24"/>
          <w:szCs w:val="24"/>
          <w:lang w:eastAsia="zh-CN"/>
        </w:rPr>
        <w:t>主要实验室内设置紫外线灭菌灯。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9、其他材料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性能参数符合国标标准，且满足洁净间使用要求。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设计理念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在满足国标及规范要求的基础上，后期使用方便，运行费用低，维护方便。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69B72"/>
    <w:multiLevelType w:val="singleLevel"/>
    <w:tmpl w:val="0D069B7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38B4F0FC"/>
    <w:multiLevelType w:val="singleLevel"/>
    <w:tmpl w:val="38B4F0FC"/>
    <w:lvl w:ilvl="0" w:tentative="0">
      <w:start w:val="10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0E2612"/>
    <w:rsid w:val="235D550E"/>
    <w:rsid w:val="2A4379D0"/>
    <w:rsid w:val="4E65619D"/>
    <w:rsid w:val="58DF3A13"/>
    <w:rsid w:val="760E2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